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7C9C2">
      <w:pPr>
        <w:pStyle w:val="2"/>
      </w:pPr>
      <w:r>
        <w:rPr>
          <w:rFonts w:ascii="Times New Roman" w:hAnsi="Times New Roman"/>
          <w:sz w:val="22"/>
        </w:rPr>
        <w:t>EMJM Chemoinformatics+ Summer School 2025</w:t>
      </w:r>
    </w:p>
    <w:p w14:paraId="0DDBA178">
      <w:r>
        <w:rPr>
          <w:rFonts w:ascii="Times New Roman" w:hAnsi="Times New Roman"/>
          <w:sz w:val="22"/>
        </w:rPr>
        <w:t>Ljubljana, Slovenia — June 30 – July 4, 2025</w:t>
      </w:r>
    </w:p>
    <w:p w14:paraId="631B152F"/>
    <w:p w14:paraId="66FFFB3E">
      <w:pPr>
        <w:pStyle w:val="3"/>
      </w:pPr>
      <w:r>
        <w:rPr>
          <w:rFonts w:ascii="Times New Roman" w:hAnsi="Times New Roman"/>
          <w:sz w:val="22"/>
        </w:rPr>
        <w:t>Predicting Aqueous Solubility of Drug-like Molecules Using Machine Learning</w:t>
      </w:r>
    </w:p>
    <w:p w14:paraId="7EB93248">
      <w:r>
        <w:rPr>
          <w:rFonts w:ascii="Times New Roman" w:hAnsi="Times New Roman"/>
          <w:b/>
          <w:sz w:val="22"/>
        </w:rPr>
        <w:t>Alice Smith¹, Bob Johnson², Carol Lee³</w:t>
      </w:r>
      <w:r>
        <w:rPr>
          <w:rFonts w:ascii="Times New Roman" w:hAnsi="Times New Roman"/>
          <w:b/>
          <w:sz w:val="22"/>
        </w:rPr>
        <w:br w:type="textWrapping"/>
      </w:r>
      <w:r>
        <w:rPr>
          <w:rFonts w:ascii="Times New Roman" w:hAnsi="Times New Roman"/>
          <w:sz w:val="22"/>
        </w:rPr>
        <w:t>¹Department of Chemistry, University of Example, London, UK</w:t>
      </w:r>
      <w:r>
        <w:rPr>
          <w:rFonts w:ascii="Times New Roman" w:hAnsi="Times New Roman"/>
          <w:sz w:val="22"/>
        </w:rPr>
        <w:br w:type="textWrapping"/>
      </w:r>
      <w:r>
        <w:rPr>
          <w:rFonts w:ascii="Times New Roman" w:hAnsi="Times New Roman"/>
          <w:sz w:val="22"/>
        </w:rPr>
        <w:t>²Institute of Computational Sciences, DataVille, Germany</w:t>
      </w:r>
      <w:r>
        <w:rPr>
          <w:rFonts w:ascii="Times New Roman" w:hAnsi="Times New Roman"/>
          <w:sz w:val="22"/>
        </w:rPr>
        <w:br w:type="textWrapping"/>
      </w:r>
      <w:r>
        <w:rPr>
          <w:rFonts w:ascii="Times New Roman" w:hAnsi="Times New Roman"/>
          <w:sz w:val="22"/>
        </w:rPr>
        <w:t>³Faculty of Pharmacy, University of Ljubljana, Ljubljana, Slovenia</w:t>
      </w:r>
      <w:r>
        <w:rPr>
          <w:rFonts w:ascii="Times New Roman" w:hAnsi="Times New Roman"/>
          <w:sz w:val="22"/>
        </w:rPr>
        <w:br w:type="textWrapping"/>
      </w:r>
      <w:r>
        <w:rPr>
          <w:rFonts w:ascii="Times New Roman" w:hAnsi="Times New Roman"/>
          <w:sz w:val="22"/>
        </w:rPr>
        <w:t>Corresponding Author Email: alice.smith@example.edu</w:t>
      </w:r>
    </w:p>
    <w:p w14:paraId="4FD0160B"/>
    <w:p w14:paraId="721E2FEB">
      <w:pPr>
        <w:pStyle w:val="3"/>
      </w:pPr>
      <w:r>
        <w:rPr>
          <w:rFonts w:ascii="Times New Roman" w:hAnsi="Times New Roman"/>
          <w:sz w:val="22"/>
        </w:rPr>
        <w:t>Abstract</w:t>
      </w:r>
    </w:p>
    <w:p w14:paraId="27E8B843">
      <w:pPr>
        <w:jc w:val="both"/>
      </w:pPr>
      <w:r>
        <w:t xml:space="preserve">Accurate prediction of aqueous solubility is a critical task in the early stages of drug development. In this study, we evaluate several machine learning approaches for predicting solubility using a curated dataset of drug-like molecules. Features were generated using molecular fingerprints and physicochemical descriptors. Random Forest, Support Vector Regression, and Gradient Boosting models were trained and compared using cross-validation. Our results show that ensemble methods outperform traditional models, achieving an RMSE of 0.45 logS units on the test set. This work demonstrates the potential of data-driven models in supporting medicinal chemistry workflows and provides a foundation for integrating predictive analytics into cheminformatics pipelines. As shown in </w:t>
      </w:r>
      <w:r>
        <w:rPr>
          <w:b/>
          <w:bCs/>
        </w:rPr>
        <w:t>Figure 1</w:t>
      </w:r>
      <w:r>
        <w:t>, the model architecture provides clear insight into feature importance.</w:t>
      </w:r>
    </w:p>
    <w:p w14:paraId="6EC431EB">
      <w:pPr>
        <w:jc w:val="center"/>
      </w:pPr>
      <w:r>
        <w:br w:type="textWrapping"/>
      </w:r>
      <w:r>
        <w:t>[Insert Figure 1 Here]</w:t>
      </w:r>
      <w:r>
        <w:br w:type="textWrapping"/>
      </w:r>
    </w:p>
    <w:p w14:paraId="3C3BED72">
      <w:pPr>
        <w:jc w:val="center"/>
      </w:pPr>
      <w:r>
        <w:t>Figure 1. Architecture of the machine learning model used for solubility prediction.</w:t>
      </w:r>
    </w:p>
    <w:p w14:paraId="07589779"/>
    <w:p w14:paraId="03BBAF52">
      <w:r>
        <w:rPr>
          <w:rFonts w:ascii="Times New Roman" w:hAnsi="Times New Roman"/>
          <w:b/>
          <w:sz w:val="22"/>
        </w:rPr>
        <w:t xml:space="preserve">Keywords: </w:t>
      </w:r>
      <w:r>
        <w:rPr>
          <w:rFonts w:ascii="Times New Roman" w:hAnsi="Times New Roman"/>
          <w:sz w:val="22"/>
        </w:rPr>
        <w:t>aqueous solubility; machine learning; cheminformatics; drug design; predictive modeling</w:t>
      </w:r>
    </w:p>
    <w:p w14:paraId="137E8BB6"/>
    <w:p w14:paraId="5DD4DA71">
      <w:pPr>
        <w:jc w:val="center"/>
      </w:pPr>
      <w:r>
        <w:rPr>
          <w:rFonts w:ascii="Times New Roman" w:hAnsi="Times New Roman"/>
          <w:b/>
          <w:sz w:val="22"/>
        </w:rPr>
        <w:br w:type="textWrapping"/>
      </w:r>
    </w:p>
    <w:p w14:paraId="2780EF5A">
      <w:r>
        <w:rPr>
          <w:rFonts w:ascii="Times New Roman" w:hAnsi="Times New Roman"/>
          <w:sz w:val="22"/>
        </w:rPr>
        <w:br w:type="page"/>
      </w:r>
    </w:p>
    <w:p w14:paraId="6737B98C">
      <w:pPr>
        <w:pStyle w:val="3"/>
      </w:pPr>
      <w:r>
        <w:rPr>
          <w:rFonts w:ascii="Times New Roman" w:hAnsi="Times New Roman"/>
          <w:sz w:val="22"/>
        </w:rPr>
        <w:t>References</w:t>
      </w:r>
    </w:p>
    <w:p w14:paraId="3D1C5D8C">
      <w:pPr>
        <w:spacing w:after="120"/>
        <w:jc w:val="left"/>
      </w:pPr>
      <w:r>
        <w:rPr>
          <w:rFonts w:ascii="Times New Roman" w:hAnsi="Times New Roman"/>
          <w:sz w:val="22"/>
        </w:rPr>
        <w:t>Chen, H., Engkvist, O., Wang, Y., Olivecrona, M., &amp; Blaschke, T. (2018). The rise of deep learning in drug discovery. *Drug Discovery Today, 23*(6), 1241–1250. https://doi.org/10.1016/j.drudis.2018.01.039</w:t>
      </w:r>
    </w:p>
    <w:p w14:paraId="73D0C558">
      <w:pPr>
        <w:spacing w:after="120"/>
        <w:jc w:val="left"/>
      </w:pPr>
      <w:r>
        <w:rPr>
          <w:rFonts w:ascii="Times New Roman" w:hAnsi="Times New Roman"/>
          <w:sz w:val="22"/>
        </w:rPr>
        <w:t>Lipinski, C. A. (2004). Lead- and drug-like compounds: The rule-of-five revolution. *Drug Discovery Today: Technologies, 1*(4), 337–341. https://doi.org/10.1016/j.ddtec.2004.11.007</w:t>
      </w:r>
    </w:p>
    <w:p w14:paraId="5A96DC5E">
      <w:pPr>
        <w:spacing w:after="120"/>
        <w:jc w:val="left"/>
      </w:pPr>
      <w:r>
        <w:rPr>
          <w:rFonts w:ascii="Times New Roman" w:hAnsi="Times New Roman"/>
          <w:sz w:val="22"/>
        </w:rPr>
        <w:t>Rogers, D., &amp; Hahn, M. (2010). Extended-connectivity fingerprints. *Journal of Chemical Information and Modeling, 50*(5), 742–754. https://doi.org/10.1021/ci100050t</w:t>
      </w:r>
    </w:p>
    <w:p w14:paraId="1FABCA85">
      <w:pPr>
        <w:jc w:val="center"/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38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Črtomir Podlipnik</cp:lastModifiedBy>
  <dcterms:modified xsi:type="dcterms:W3CDTF">2025-03-21T07:53:46Z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0E2CAE9F4DCE456A9AF15BDB6E2FEA5C_13</vt:lpwstr>
  </property>
</Properties>
</file>